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7"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7" w:lineRule="exact"/>
        <w:rPr>
          <w:sz w:val="24"/>
          <w:szCs w:val="24"/>
          <w:color w:val="auto"/>
        </w:rPr>
      </w:pPr>
    </w:p>
    <w:p>
      <w:pPr>
        <w:ind w:left="320" w:right="20"/>
        <w:spacing w:after="0" w:line="28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-186055</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0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2"/>
              <w:spacing w:after="0" w:line="13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4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4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5147945</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3859530</wp:posOffset>
            </wp:positionH>
            <wp:positionV relativeFrom="paragraph">
              <wp:posOffset>-587375</wp:posOffset>
            </wp:positionV>
            <wp:extent cx="55880" cy="600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620395</wp:posOffset>
            </wp:positionV>
            <wp:extent cx="7002145" cy="8875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8875395"/>
                    </a:xfrm>
                    <a:prstGeom prst="rect">
                      <a:avLst/>
                    </a:prstGeom>
                    <a:noFill/>
                  </pic:spPr>
                </pic:pic>
              </a:graphicData>
            </a:graphic>
          </wp:anchor>
        </w:drawing>
      </w:r>
    </w:p>
    <w:p>
      <w:pPr>
        <w:spacing w:after="0" w:line="983" w:lineRule="exact"/>
        <w:rPr>
          <w:sz w:val="24"/>
          <w:szCs w:val="24"/>
          <w:color w:val="auto"/>
        </w:rPr>
      </w:pPr>
    </w:p>
    <w:p>
      <w:pPr>
        <w:sectPr>
          <w:pgSz w:w="11900" w:h="16838" w:orient="portrait"/>
          <w:cols w:equalWidth="0" w:num="2">
            <w:col w:w="2320" w:space="440"/>
            <w:col w:w="832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20" w:type="dxa"/>
            <w:vAlign w:val="bottom"/>
            <w:gridSpan w:val="10"/>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3260" w:type="dxa"/>
            <w:vAlign w:val="bottom"/>
            <w:gridSpan w:val="7"/>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BAKER BROS. ADVISORS LP</w:t>
              </w:r>
            </w:hyperlink>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80" w:type="dxa"/>
            <w:vAlign w:val="bottom"/>
            <w:gridSpan w:val="15"/>
          </w:tcPr>
          <w:p>
            <w:pPr>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MADRIGAL PHARMACEUTICALS, INC. </w:t>
              </w:r>
            </w:hyperlink>
            <w:r>
              <w:rPr>
                <w:rFonts w:ascii="Times New Roman" w:cs="Times New Roman" w:eastAsia="Times New Roman" w:hAnsi="Times New Roman"/>
                <w:sz w:val="11"/>
                <w:szCs w:val="11"/>
                <w:color w:val="000000"/>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326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28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760" w:type="dxa"/>
            <w:vAlign w:val="bottom"/>
            <w:tcBorders>
              <w:bottom w:val="single" w:sz="8" w:color="0000EE"/>
            </w:tcBorders>
          </w:tcPr>
          <w:p>
            <w:pPr>
              <w:spacing w:after="0"/>
              <w:rPr>
                <w:sz w:val="5"/>
                <w:szCs w:val="5"/>
                <w:color w:val="auto"/>
              </w:rPr>
            </w:pPr>
          </w:p>
        </w:tc>
        <w:tc>
          <w:tcPr>
            <w:tcW w:w="74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326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 xml:space="preserve">MDGL </w:t>
            </w:r>
            <w:r>
              <w:rPr>
                <w:rFonts w:ascii="Times New Roman" w:cs="Times New Roman" w:eastAsia="Times New Roman" w:hAnsi="Times New Roman"/>
                <w:sz w:val="19"/>
                <w:szCs w:val="19"/>
                <w:color w:val="000000"/>
              </w:rPr>
              <w:t>]</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color w:val="auto"/>
              </w:rPr>
              <w:t>Director</w:t>
            </w:r>
          </w:p>
        </w:tc>
        <w:tc>
          <w:tcPr>
            <w:tcW w:w="320" w:type="dxa"/>
            <w:vAlign w:val="bottom"/>
          </w:tcPr>
          <w:p>
            <w:pPr>
              <w:spacing w:after="0"/>
              <w:rPr>
                <w:sz w:val="5"/>
                <w:szCs w:val="5"/>
                <w:color w:val="auto"/>
              </w:rPr>
            </w:pPr>
          </w:p>
        </w:tc>
        <w:tc>
          <w:tcPr>
            <w:tcW w:w="1520" w:type="dxa"/>
            <w:vAlign w:val="bottom"/>
            <w:vMerge w:val="restart"/>
          </w:tcPr>
          <w:p>
            <w:pPr>
              <w:ind w:left="380"/>
              <w:spacing w:after="0"/>
              <w:rPr>
                <w:sz w:val="20"/>
                <w:szCs w:val="20"/>
                <w:color w:val="auto"/>
              </w:rPr>
            </w:pPr>
            <w:r>
              <w:rPr>
                <w:rFonts w:ascii="Arial" w:cs="Arial" w:eastAsia="Arial" w:hAnsi="Arial"/>
                <w:sz w:val="12"/>
                <w:szCs w:val="12"/>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5"/>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color w:val="auto"/>
                <w:w w:val="99"/>
              </w:rPr>
              <w:t>Officer (give title</w:t>
            </w:r>
          </w:p>
        </w:tc>
        <w:tc>
          <w:tcPr>
            <w:tcW w:w="320" w:type="dxa"/>
            <w:vAlign w:val="bottom"/>
          </w:tcPr>
          <w:p>
            <w:pPr>
              <w:spacing w:after="0"/>
              <w:rPr>
                <w:sz w:val="7"/>
                <w:szCs w:val="7"/>
                <w:color w:val="auto"/>
              </w:rPr>
            </w:pPr>
          </w:p>
        </w:tc>
        <w:tc>
          <w:tcPr>
            <w:tcW w:w="1520" w:type="dxa"/>
            <w:vAlign w:val="bottom"/>
            <w:vMerge w:val="restart"/>
          </w:tcPr>
          <w:p>
            <w:pPr>
              <w:ind w:left="380"/>
              <w:spacing w:after="0"/>
              <w:rPr>
                <w:sz w:val="20"/>
                <w:szCs w:val="20"/>
                <w:color w:val="auto"/>
              </w:rPr>
            </w:pPr>
            <w:r>
              <w:rPr>
                <w:rFonts w:ascii="Arial" w:cs="Arial" w:eastAsia="Arial" w:hAnsi="Arial"/>
                <w:sz w:val="12"/>
                <w:szCs w:val="12"/>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(First)</w:t>
            </w:r>
          </w:p>
        </w:tc>
        <w:tc>
          <w:tcPr>
            <w:tcW w:w="940" w:type="dxa"/>
            <w:vAlign w:val="bottom"/>
            <w:gridSpan w:val="2"/>
          </w:tcPr>
          <w:p>
            <w:pPr>
              <w:ind w:left="1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color w:val="auto"/>
              </w:rPr>
              <w:t>below)</w:t>
            </w:r>
          </w:p>
        </w:tc>
        <w:tc>
          <w:tcPr>
            <w:tcW w:w="320" w:type="dxa"/>
            <w:vAlign w:val="bottom"/>
          </w:tcPr>
          <w:p>
            <w:pPr>
              <w:spacing w:after="0"/>
              <w:rPr>
                <w:sz w:val="14"/>
                <w:szCs w:val="14"/>
                <w:color w:val="auto"/>
              </w:rPr>
            </w:pPr>
          </w:p>
        </w:tc>
        <w:tc>
          <w:tcPr>
            <w:tcW w:w="1520" w:type="dxa"/>
            <w:vAlign w:val="bottom"/>
          </w:tcPr>
          <w:p>
            <w:pPr>
              <w:ind w:left="380"/>
              <w:spacing w:after="0"/>
              <w:rPr>
                <w:sz w:val="20"/>
                <w:szCs w:val="20"/>
                <w:color w:val="auto"/>
              </w:rPr>
            </w:pPr>
            <w:r>
              <w:rPr>
                <w:rFonts w:ascii="Arial" w:cs="Arial" w:eastAsia="Arial" w:hAnsi="Arial"/>
                <w:sz w:val="12"/>
                <w:szCs w:val="12"/>
                <w:color w:val="auto"/>
              </w:rPr>
              <w:t>below)</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326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11"/>
          </w:tcPr>
          <w:p>
            <w:pPr>
              <w:spacing w:after="0"/>
              <w:rPr>
                <w:sz w:val="20"/>
                <w:szCs w:val="20"/>
                <w:color w:val="auto"/>
              </w:rPr>
            </w:pPr>
            <w:r>
              <w:rPr>
                <w:rFonts w:ascii="Arial" w:cs="Arial" w:eastAsia="Arial" w:hAnsi="Arial"/>
                <w:sz w:val="12"/>
                <w:szCs w:val="12"/>
                <w:color w:val="auto"/>
              </w:rPr>
              <w:t>3. Date of Earliest Transaction (Month/Day/Year)</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3260" w:type="dxa"/>
            <w:vAlign w:val="bottom"/>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06/17/2026</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40" w:type="dxa"/>
            <w:vAlign w:val="bottom"/>
            <w:gridSpan w:val="12"/>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5"/>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2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NY</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140" w:type="dxa"/>
            <w:vAlign w:val="bottom"/>
            <w:gridSpan w:val="12"/>
            <w:vMerge w:val="continue"/>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2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40" w:type="dxa"/>
            <w:vAlign w:val="bottom"/>
            <w:gridSpan w:val="4"/>
          </w:tcPr>
          <w:p>
            <w:pPr>
              <w:ind w:left="2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740" w:type="dxa"/>
            <w:vAlign w:val="bottom"/>
            <w:gridSpan w:val="4"/>
            <w:vMerge w:val="restart"/>
          </w:tcPr>
          <w:p>
            <w:pPr>
              <w:ind w:left="2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5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2"/>
                <w:szCs w:val="12"/>
                <w:color w:val="auto"/>
              </w:rPr>
              <w:t>(City)</w:t>
            </w:r>
          </w:p>
        </w:tc>
        <w:tc>
          <w:tcPr>
            <w:tcW w:w="1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2"/>
                <w:szCs w:val="12"/>
                <w:color w:val="auto"/>
              </w:rPr>
              <w:t>(State)</w:t>
            </w:r>
          </w:p>
        </w:tc>
        <w:tc>
          <w:tcPr>
            <w:tcW w:w="9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74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gridSpan w:val="2"/>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gridSpan w:val="3"/>
          </w:tcPr>
          <w:p>
            <w:pPr>
              <w:spacing w:after="0"/>
              <w:rPr>
                <w:sz w:val="9"/>
                <w:szCs w:val="9"/>
                <w:color w:val="auto"/>
              </w:rPr>
            </w:pPr>
          </w:p>
        </w:tc>
        <w:tc>
          <w:tcPr>
            <w:tcW w:w="2480" w:type="dxa"/>
            <w:vAlign w:val="bottom"/>
            <w:tcBorders>
              <w:bottom w:val="single" w:sz="8" w:color="2C2C2C"/>
            </w:tcBorders>
            <w:gridSpan w:val="6"/>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gridSpan w:val="2"/>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60" w:type="dxa"/>
            <w:vAlign w:val="bottom"/>
            <w:gridSpan w:val="25"/>
          </w:tcPr>
          <w:p>
            <w:pPr>
              <w:ind w:left="80"/>
              <w:spacing w:after="0"/>
              <w:rPr>
                <w:sz w:val="20"/>
                <w:szCs w:val="20"/>
                <w:color w:val="auto"/>
              </w:rPr>
            </w:pPr>
            <w:r>
              <w:rPr>
                <w:rFonts w:ascii="Arial" w:cs="Arial" w:eastAsia="Arial" w:hAnsi="Arial"/>
                <w:sz w:val="16"/>
                <w:szCs w:val="16"/>
                <w:b w:val="1"/>
                <w:bCs w:val="1"/>
                <w:color w:val="auto"/>
                <w:w w:val="97"/>
              </w:rPr>
              <w:t>Table I - Non-Derivative Securities Acquired, Disposed of, or Beneficially Owned</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62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20" w:type="dxa"/>
            <w:vAlign w:val="bottom"/>
          </w:tcPr>
          <w:p>
            <w:pPr>
              <w:spacing w:after="0"/>
              <w:rPr>
                <w:sz w:val="13"/>
                <w:szCs w:val="13"/>
                <w:color w:val="auto"/>
              </w:rPr>
            </w:pPr>
          </w:p>
        </w:tc>
        <w:tc>
          <w:tcPr>
            <w:tcW w:w="1200" w:type="dxa"/>
            <w:vAlign w:val="bottom"/>
            <w:gridSpan w:val="4"/>
          </w:tcPr>
          <w:p>
            <w:pPr>
              <w:ind w:left="260"/>
              <w:spacing w:after="0"/>
              <w:rPr>
                <w:sz w:val="20"/>
                <w:szCs w:val="20"/>
                <w:color w:val="auto"/>
              </w:rPr>
            </w:pPr>
            <w:r>
              <w:rPr>
                <w:rFonts w:ascii="Arial" w:cs="Arial" w:eastAsia="Arial" w:hAnsi="Arial"/>
                <w:sz w:val="11"/>
                <w:szCs w:val="11"/>
                <w:b w:val="1"/>
                <w:bCs w:val="1"/>
                <w:color w:val="auto"/>
              </w:rPr>
              <w:t>2. Transaction</w:t>
            </w:r>
          </w:p>
        </w:tc>
        <w:tc>
          <w:tcPr>
            <w:tcW w:w="60" w:type="dxa"/>
            <w:vAlign w:val="bottom"/>
          </w:tcPr>
          <w:p>
            <w:pPr>
              <w:spacing w:after="0"/>
              <w:rPr>
                <w:sz w:val="13"/>
                <w:szCs w:val="13"/>
                <w:color w:val="auto"/>
              </w:rPr>
            </w:pPr>
          </w:p>
        </w:tc>
        <w:tc>
          <w:tcPr>
            <w:tcW w:w="880" w:type="dxa"/>
            <w:vAlign w:val="bottom"/>
            <w:gridSpan w:val="6"/>
          </w:tcPr>
          <w:p>
            <w:pPr>
              <w:ind w:left="20"/>
              <w:spacing w:after="0"/>
              <w:rPr>
                <w:sz w:val="20"/>
                <w:szCs w:val="20"/>
                <w:color w:val="auto"/>
              </w:rPr>
            </w:pPr>
            <w:r>
              <w:rPr>
                <w:rFonts w:ascii="Arial" w:cs="Arial" w:eastAsia="Arial" w:hAnsi="Arial"/>
                <w:sz w:val="11"/>
                <w:szCs w:val="11"/>
                <w:b w:val="1"/>
                <w:bCs w:val="1"/>
                <w:color w:val="auto"/>
              </w:rPr>
              <w:t>2A. Deemed</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80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5. Amount of</w:t>
            </w:r>
          </w:p>
        </w:tc>
        <w:tc>
          <w:tcPr>
            <w:tcW w:w="24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1520" w:type="dxa"/>
            <w:vAlign w:val="bottom"/>
          </w:tcPr>
          <w:p>
            <w:pPr>
              <w:spacing w:after="0"/>
              <w:rPr>
                <w:sz w:val="20"/>
                <w:szCs w:val="20"/>
                <w:color w:val="auto"/>
              </w:rPr>
            </w:pPr>
            <w:r>
              <w:rPr>
                <w:rFonts w:ascii="Arial" w:cs="Arial" w:eastAsia="Arial" w:hAnsi="Arial"/>
                <w:sz w:val="11"/>
                <w:szCs w:val="11"/>
                <w:b w:val="1"/>
                <w:bCs w:val="1"/>
                <w:color w:val="auto"/>
              </w:rPr>
              <w:t>7. Nature of Indirect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6"/>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800" w:type="dxa"/>
            <w:vAlign w:val="bottom"/>
            <w:gridSpan w:val="6"/>
          </w:tcPr>
          <w:p>
            <w:pPr>
              <w:ind w:left="20"/>
              <w:spacing w:after="0" w:line="121" w:lineRule="exact"/>
              <w:rPr>
                <w:sz w:val="20"/>
                <w:szCs w:val="20"/>
                <w:color w:val="auto"/>
              </w:rPr>
            </w:pPr>
            <w:r>
              <w:rPr>
                <w:rFonts w:ascii="Arial" w:cs="Arial" w:eastAsia="Arial" w:hAnsi="Arial"/>
                <w:sz w:val="11"/>
                <w:szCs w:val="11"/>
                <w:b w:val="1"/>
                <w:bCs w:val="1"/>
                <w:color w:val="auto"/>
              </w:rPr>
              <w:t>Disposed Of (D) (Instr. 3, 4 and</w:t>
            </w:r>
          </w:p>
        </w:tc>
        <w:tc>
          <w:tcPr>
            <w:tcW w:w="7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98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Form: Direct</w:t>
            </w:r>
          </w:p>
        </w:tc>
        <w:tc>
          <w:tcPr>
            <w:tcW w:w="1520" w:type="dxa"/>
            <w:vAlign w:val="bottom"/>
          </w:tcPr>
          <w:p>
            <w:pPr>
              <w:spacing w:after="0" w:line="121" w:lineRule="exact"/>
              <w:rPr>
                <w:sz w:val="20"/>
                <w:szCs w:val="20"/>
                <w:color w:val="auto"/>
              </w:rPr>
            </w:pPr>
            <w:r>
              <w:rPr>
                <w:rFonts w:ascii="Arial" w:cs="Arial" w:eastAsia="Arial" w:hAnsi="Arial"/>
                <w:sz w:val="11"/>
                <w:szCs w:val="11"/>
                <w:b w:val="1"/>
                <w:bCs w:val="1"/>
                <w:color w:val="auto"/>
              </w:rPr>
              <w:t>Beneficial 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4"/>
          </w:tcPr>
          <w:p>
            <w:pPr>
              <w:ind w:left="260"/>
              <w:spacing w:after="0" w:line="121" w:lineRule="exact"/>
              <w:rPr>
                <w:sz w:val="20"/>
                <w:szCs w:val="20"/>
                <w:color w:val="auto"/>
              </w:rPr>
            </w:pPr>
            <w:r>
              <w:rPr>
                <w:rFonts w:ascii="Arial" w:cs="Arial" w:eastAsia="Arial" w:hAnsi="Arial"/>
                <w:sz w:val="11"/>
                <w:szCs w:val="11"/>
                <w:b w:val="1"/>
                <w:bCs w:val="1"/>
                <w:color w:val="auto"/>
              </w:rPr>
              <w:t>(Month/Day/Year)</w:t>
            </w:r>
          </w:p>
        </w:tc>
        <w:tc>
          <w:tcPr>
            <w:tcW w:w="60" w:type="dxa"/>
            <w:vAlign w:val="bottom"/>
          </w:tcPr>
          <w:p>
            <w:pPr>
              <w:spacing w:after="0"/>
              <w:rPr>
                <w:sz w:val="10"/>
                <w:szCs w:val="10"/>
                <w:color w:val="auto"/>
              </w:rPr>
            </w:pPr>
          </w:p>
        </w:tc>
        <w:tc>
          <w:tcPr>
            <w:tcW w:w="320" w:type="dxa"/>
            <w:vAlign w:val="bottom"/>
          </w:tcPr>
          <w:p>
            <w:pPr>
              <w:ind w:left="20"/>
              <w:spacing w:after="0" w:line="121" w:lineRule="exact"/>
              <w:rPr>
                <w:sz w:val="20"/>
                <w:szCs w:val="20"/>
                <w:color w:val="auto"/>
              </w:rPr>
            </w:pPr>
            <w:r>
              <w:rPr>
                <w:rFonts w:ascii="Arial" w:cs="Arial" w:eastAsia="Arial" w:hAnsi="Arial"/>
                <w:sz w:val="11"/>
                <w:szCs w:val="11"/>
                <w:b w:val="1"/>
                <w:bCs w:val="1"/>
                <w:color w:val="auto"/>
                <w:w w:val="97"/>
              </w:rPr>
              <w:t>if any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5)</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240" w:type="dxa"/>
            <w:vAlign w:val="bottom"/>
          </w:tcPr>
          <w:p>
            <w:pPr>
              <w:spacing w:after="0"/>
              <w:rPr>
                <w:sz w:val="10"/>
                <w:szCs w:val="10"/>
                <w:color w:val="auto"/>
              </w:rPr>
            </w:pPr>
          </w:p>
        </w:tc>
        <w:tc>
          <w:tcPr>
            <w:tcW w:w="98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(D) or Indirect</w:t>
            </w:r>
          </w:p>
        </w:tc>
        <w:tc>
          <w:tcPr>
            <w:tcW w:w="1520" w:type="dxa"/>
            <w:vAlign w:val="bottom"/>
          </w:tcPr>
          <w:p>
            <w:pPr>
              <w:spacing w:after="0" w:line="121" w:lineRule="exact"/>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8"/>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Owned Following</w:t>
            </w:r>
          </w:p>
        </w:tc>
        <w:tc>
          <w:tcPr>
            <w:tcW w:w="66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8"/>
              </w:rPr>
              <w:t>(I) (Instr. 4)</w:t>
            </w: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3"/>
            <w:vMerge w:val="restart"/>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4"/>
            <w:vMerge w:val="continue"/>
          </w:tcPr>
          <w:p>
            <w:pPr>
              <w:spacing w:after="0"/>
              <w:rPr>
                <w:sz w:val="7"/>
                <w:szCs w:val="7"/>
                <w:color w:val="auto"/>
              </w:rPr>
            </w:pPr>
          </w:p>
        </w:tc>
        <w:tc>
          <w:tcPr>
            <w:tcW w:w="760" w:type="dxa"/>
            <w:vAlign w:val="bottom"/>
            <w:gridSpan w:val="3"/>
            <w:vMerge w:val="restart"/>
          </w:tcPr>
          <w:p>
            <w:pPr>
              <w:spacing w:after="0"/>
              <w:rPr>
                <w:sz w:val="20"/>
                <w:szCs w:val="20"/>
                <w:color w:val="auto"/>
              </w:rPr>
            </w:pPr>
            <w:r>
              <w:rPr>
                <w:rFonts w:ascii="Arial" w:cs="Arial" w:eastAsia="Arial" w:hAnsi="Arial"/>
                <w:sz w:val="11"/>
                <w:szCs w:val="11"/>
                <w:b w:val="1"/>
                <w:bCs w:val="1"/>
                <w:color w:val="auto"/>
                <w:w w:val="98"/>
              </w:rPr>
              <w:t>(Instr. 3 and 4)</w:t>
            </w: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2"/>
                <w:szCs w:val="22"/>
                <w:color w:val="auto"/>
              </w:rPr>
            </w:pPr>
          </w:p>
        </w:tc>
        <w:tc>
          <w:tcPr>
            <w:tcW w:w="1340" w:type="dxa"/>
            <w:vAlign w:val="bottom"/>
            <w:gridSpan w:val="4"/>
          </w:tcPr>
          <w:p>
            <w:pPr>
              <w:ind w:left="580"/>
              <w:spacing w:after="0"/>
              <w:rPr>
                <w:sz w:val="20"/>
                <w:szCs w:val="20"/>
                <w:color w:val="auto"/>
              </w:rPr>
            </w:pPr>
            <w:r>
              <w:rPr>
                <w:rFonts w:ascii="Times New Roman" w:cs="Times New Roman" w:eastAsia="Times New Roman" w:hAnsi="Times New Roman"/>
                <w:sz w:val="16"/>
                <w:szCs w:val="16"/>
                <w:color w:val="0000FF"/>
              </w:rPr>
              <w:t>06/17/2026</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908</w:t>
            </w:r>
            <w:r>
              <w:rPr>
                <w:rFonts w:ascii="Times New Roman" w:cs="Times New Roman" w:eastAsia="Times New Roman" w:hAnsi="Times New Roman"/>
                <w:sz w:val="20"/>
                <w:szCs w:val="20"/>
                <w:color w:val="008000"/>
                <w:vertAlign w:val="superscript"/>
              </w:rPr>
              <w:t>(1)</w:t>
            </w:r>
          </w:p>
        </w:tc>
        <w:tc>
          <w:tcPr>
            <w:tcW w:w="46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16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203,721</w:t>
            </w:r>
          </w:p>
        </w:tc>
        <w:tc>
          <w:tcPr>
            <w:tcW w:w="240" w:type="dxa"/>
            <w:vAlign w:val="bottom"/>
          </w:tcPr>
          <w:p>
            <w:pPr>
              <w:spacing w:after="0"/>
              <w:rPr>
                <w:sz w:val="22"/>
                <w:szCs w:val="22"/>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spacing w:after="0"/>
              <w:rPr>
                <w:sz w:val="22"/>
                <w:szCs w:val="22"/>
                <w:color w:val="auto"/>
              </w:rPr>
            </w:pPr>
          </w:p>
        </w:tc>
        <w:tc>
          <w:tcPr>
            <w:tcW w:w="1520" w:type="dxa"/>
            <w:vAlign w:val="bottom"/>
          </w:tcPr>
          <w:p>
            <w:pPr>
              <w:spacing w:after="0" w:line="253" w:lineRule="exact"/>
              <w:rPr>
                <w:sz w:val="20"/>
                <w:szCs w:val="20"/>
                <w:color w:val="auto"/>
              </w:rPr>
            </w:pPr>
            <w:r>
              <w:rPr>
                <w:rFonts w:ascii="Times New Roman" w:cs="Times New Roman" w:eastAsia="Times New Roman" w:hAnsi="Times New Roman"/>
                <w:sz w:val="29"/>
                <w:szCs w:val="29"/>
                <w:color w:val="0000FF"/>
                <w:w w:val="96"/>
                <w:vertAlign w:val="subscript"/>
              </w:rPr>
              <w:t>See Footnotes</w:t>
            </w:r>
            <w:r>
              <w:rPr>
                <w:rFonts w:ascii="Times New Roman" w:cs="Times New Roman" w:eastAsia="Times New Roman" w:hAnsi="Times New Roman"/>
                <w:sz w:val="10"/>
                <w:szCs w:val="10"/>
                <w:color w:val="008000"/>
                <w:w w:val="96"/>
              </w:rPr>
              <w:t>(2)(3)(4)(5)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0"/>
                <w:szCs w:val="10"/>
                <w:color w:val="008000"/>
              </w:rPr>
              <w:t>(6)(7)(8)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2"/>
                <w:szCs w:val="22"/>
                <w:color w:val="auto"/>
              </w:rPr>
            </w:pPr>
          </w:p>
        </w:tc>
        <w:tc>
          <w:tcPr>
            <w:tcW w:w="1340" w:type="dxa"/>
            <w:vAlign w:val="bottom"/>
            <w:gridSpan w:val="4"/>
          </w:tcPr>
          <w:p>
            <w:pPr>
              <w:ind w:left="580"/>
              <w:spacing w:after="0"/>
              <w:rPr>
                <w:sz w:val="20"/>
                <w:szCs w:val="20"/>
                <w:color w:val="auto"/>
              </w:rPr>
            </w:pPr>
            <w:r>
              <w:rPr>
                <w:rFonts w:ascii="Times New Roman" w:cs="Times New Roman" w:eastAsia="Times New Roman" w:hAnsi="Times New Roman"/>
                <w:sz w:val="16"/>
                <w:szCs w:val="16"/>
                <w:color w:val="0000FF"/>
              </w:rPr>
              <w:t>06/17/2026</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908</w:t>
            </w:r>
            <w:r>
              <w:rPr>
                <w:rFonts w:ascii="Times New Roman" w:cs="Times New Roman" w:eastAsia="Times New Roman" w:hAnsi="Times New Roman"/>
                <w:sz w:val="20"/>
                <w:szCs w:val="20"/>
                <w:color w:val="008000"/>
                <w:vertAlign w:val="superscript"/>
              </w:rPr>
              <w:t>(1)</w:t>
            </w:r>
          </w:p>
        </w:tc>
        <w:tc>
          <w:tcPr>
            <w:tcW w:w="46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16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4"/>
          </w:tcPr>
          <w:p>
            <w:pPr>
              <w:jc w:val="right"/>
              <w:ind w:right="144"/>
              <w:spacing w:after="0"/>
              <w:rPr>
                <w:sz w:val="20"/>
                <w:szCs w:val="20"/>
                <w:color w:val="auto"/>
              </w:rPr>
            </w:pPr>
            <w:r>
              <w:rPr>
                <w:rFonts w:ascii="Times New Roman" w:cs="Times New Roman" w:eastAsia="Times New Roman" w:hAnsi="Times New Roman"/>
                <w:sz w:val="16"/>
                <w:szCs w:val="16"/>
                <w:color w:val="0000FF"/>
              </w:rPr>
              <w:t>1,948,876</w:t>
            </w:r>
          </w:p>
        </w:tc>
        <w:tc>
          <w:tcPr>
            <w:tcW w:w="66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spacing w:after="0"/>
              <w:rPr>
                <w:sz w:val="22"/>
                <w:szCs w:val="22"/>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0000FF"/>
                <w:w w:val="98"/>
              </w:rPr>
              <w:t>See Footnotes</w:t>
            </w:r>
            <w:r>
              <w:rPr>
                <w:rFonts w:ascii="Times New Roman" w:cs="Times New Roman" w:eastAsia="Times New Roman" w:hAnsi="Times New Roman"/>
                <w:sz w:val="20"/>
                <w:szCs w:val="20"/>
                <w:color w:val="008000"/>
                <w:w w:val="98"/>
                <w:vertAlign w:val="superscript"/>
              </w:rPr>
              <w:t>(3)(4)(5)(6)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0"/>
                <w:szCs w:val="10"/>
                <w:color w:val="008000"/>
              </w:rPr>
              <w:t>(7)(8)(9)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gridSpan w:val="3"/>
          </w:tcPr>
          <w:p>
            <w:pPr>
              <w:spacing w:after="0"/>
              <w:rPr>
                <w:sz w:val="7"/>
                <w:szCs w:val="7"/>
                <w:color w:val="auto"/>
              </w:rPr>
            </w:pPr>
          </w:p>
        </w:tc>
        <w:tc>
          <w:tcPr>
            <w:tcW w:w="24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40" w:type="dxa"/>
            <w:vAlign w:val="bottom"/>
            <w:gridSpan w:val="24"/>
          </w:tcPr>
          <w:p>
            <w:pPr>
              <w:jc w:val="center"/>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80" w:type="dxa"/>
            <w:vAlign w:val="bottom"/>
            <w:gridSpan w:val="22"/>
          </w:tcPr>
          <w:p>
            <w:pPr>
              <w:jc w:val="center"/>
              <w:ind w:right="46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4"/>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7"/>
          </w:tcPr>
          <w:p>
            <w:pPr>
              <w:ind w:left="20"/>
              <w:spacing w:after="0"/>
              <w:rPr>
                <w:sz w:val="20"/>
                <w:szCs w:val="20"/>
                <w:color w:val="auto"/>
              </w:rPr>
            </w:pPr>
            <w:r>
              <w:rPr>
                <w:rFonts w:ascii="Arial" w:cs="Arial" w:eastAsia="Arial" w:hAnsi="Arial"/>
                <w:sz w:val="11"/>
                <w:szCs w:val="11"/>
                <w:b w:val="1"/>
                <w:bCs w:val="1"/>
                <w:color w:val="auto"/>
                <w:w w:val="98"/>
              </w:rPr>
              <w:t>5. Number of</w:t>
            </w:r>
          </w:p>
        </w:tc>
        <w:tc>
          <w:tcPr>
            <w:tcW w:w="1500" w:type="dxa"/>
            <w:vAlign w:val="bottom"/>
            <w:gridSpan w:val="2"/>
          </w:tcPr>
          <w:p>
            <w:pPr>
              <w:ind w:left="160"/>
              <w:spacing w:after="0"/>
              <w:rPr>
                <w:sz w:val="20"/>
                <w:szCs w:val="20"/>
                <w:color w:val="auto"/>
              </w:rPr>
            </w:pPr>
            <w:r>
              <w:rPr>
                <w:rFonts w:ascii="Arial" w:cs="Arial" w:eastAsia="Arial" w:hAnsi="Arial"/>
                <w:sz w:val="11"/>
                <w:szCs w:val="11"/>
                <w:b w:val="1"/>
                <w:bCs w:val="1"/>
                <w:color w:val="auto"/>
              </w:rPr>
              <w:t>6. Date Exercisable and</w:t>
            </w:r>
          </w:p>
        </w:tc>
        <w:tc>
          <w:tcPr>
            <w:tcW w:w="106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w:t>
            </w:r>
          </w:p>
        </w:tc>
        <w:tc>
          <w:tcPr>
            <w:tcW w:w="8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320" w:type="dxa"/>
            <w:vAlign w:val="bottom"/>
          </w:tcPr>
          <w:p>
            <w:pPr>
              <w:spacing w:after="0"/>
              <w:rPr>
                <w:sz w:val="20"/>
                <w:szCs w:val="20"/>
                <w:color w:val="auto"/>
              </w:rPr>
            </w:pPr>
            <w:r>
              <w:rPr>
                <w:rFonts w:ascii="Arial" w:cs="Arial" w:eastAsia="Arial" w:hAnsi="Arial"/>
                <w:sz w:val="11"/>
                <w:szCs w:val="11"/>
                <w:b w:val="1"/>
                <w:bCs w:val="1"/>
                <w:color w:val="auto"/>
              </w:rPr>
              <w:t>10.</w:t>
            </w:r>
          </w:p>
        </w:tc>
        <w:tc>
          <w:tcPr>
            <w:tcW w:w="1520" w:type="dxa"/>
            <w:vAlign w:val="bottom"/>
          </w:tcPr>
          <w:p>
            <w:pPr>
              <w:ind w:left="360"/>
              <w:spacing w:after="0"/>
              <w:rPr>
                <w:sz w:val="20"/>
                <w:szCs w:val="20"/>
                <w:color w:val="auto"/>
              </w:rPr>
            </w:pPr>
            <w:r>
              <w:rPr>
                <w:rFonts w:ascii="Arial" w:cs="Arial" w:eastAsia="Arial" w:hAnsi="Arial"/>
                <w:sz w:val="11"/>
                <w:szCs w:val="11"/>
                <w:b w:val="1"/>
                <w:bCs w:val="1"/>
                <w:color w:val="auto"/>
              </w:rPr>
              <w:t>11. Nature of Indirect</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56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w w:val="98"/>
              </w:rPr>
              <w:t>Derivative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ind w:left="160"/>
              <w:spacing w:after="0" w:line="121" w:lineRule="exact"/>
              <w:rPr>
                <w:sz w:val="20"/>
                <w:szCs w:val="20"/>
                <w:color w:val="auto"/>
              </w:rPr>
            </w:pPr>
            <w:r>
              <w:rPr>
                <w:rFonts w:ascii="Arial" w:cs="Arial" w:eastAsia="Arial" w:hAnsi="Arial"/>
                <w:sz w:val="11"/>
                <w:szCs w:val="11"/>
                <w:b w:val="1"/>
                <w:bCs w:val="1"/>
                <w:color w:val="auto"/>
              </w:rPr>
              <w:t>Expiration Date</w:t>
            </w:r>
          </w:p>
        </w:tc>
        <w:tc>
          <w:tcPr>
            <w:tcW w:w="62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w w:val="94"/>
              </w:rPr>
              <w:t>Amount of</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18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Ownership  Beneficial 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56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w w:val="98"/>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ind w:left="160"/>
              <w:spacing w:after="0" w:line="121"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w w:val="98"/>
              </w:rPr>
              <w:t>Securities</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line="121" w:lineRule="exact"/>
              <w:rPr>
                <w:sz w:val="20"/>
                <w:szCs w:val="20"/>
                <w:color w:val="auto"/>
              </w:rPr>
            </w:pPr>
            <w:r>
              <w:rPr>
                <w:rFonts w:ascii="Arial" w:cs="Arial" w:eastAsia="Arial" w:hAnsi="Arial"/>
                <w:sz w:val="11"/>
                <w:szCs w:val="11"/>
                <w:b w:val="1"/>
                <w:bCs w:val="1"/>
                <w:color w:val="auto"/>
                <w:w w:val="96"/>
              </w:rPr>
              <w:t>Form:</w:t>
            </w:r>
          </w:p>
        </w:tc>
        <w:tc>
          <w:tcPr>
            <w:tcW w:w="1520" w:type="dxa"/>
            <w:vAlign w:val="bottom"/>
          </w:tcPr>
          <w:p>
            <w:pPr>
              <w:ind w:left="360"/>
              <w:spacing w:after="0" w:line="121"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gridSpan w:val="7"/>
          </w:tcPr>
          <w:p>
            <w:pPr>
              <w:ind w:left="20"/>
              <w:spacing w:after="0" w:line="121" w:lineRule="exact"/>
              <w:rPr>
                <w:sz w:val="20"/>
                <w:szCs w:val="20"/>
                <w:color w:val="auto"/>
              </w:rPr>
            </w:pPr>
            <w:r>
              <w:rPr>
                <w:rFonts w:ascii="Arial" w:cs="Arial" w:eastAsia="Arial" w:hAnsi="Arial"/>
                <w:sz w:val="11"/>
                <w:szCs w:val="11"/>
                <w:b w:val="1"/>
                <w:bCs w:val="1"/>
                <w:color w:val="auto"/>
                <w:w w:val="99"/>
              </w:rPr>
              <w:t>Acquired (A)</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Underlying</w:t>
            </w:r>
          </w:p>
        </w:tc>
        <w:tc>
          <w:tcPr>
            <w:tcW w:w="80" w:type="dxa"/>
            <w:vAlign w:val="bottom"/>
          </w:tcPr>
          <w:p>
            <w:pPr>
              <w:spacing w:after="0"/>
              <w:rPr>
                <w:sz w:val="10"/>
                <w:szCs w:val="10"/>
                <w:color w:val="auto"/>
              </w:rPr>
            </w:pP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w:t>
            </w:r>
          </w:p>
        </w:tc>
        <w:tc>
          <w:tcPr>
            <w:tcW w:w="18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Direct (D)</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gridSpan w:val="7"/>
          </w:tcPr>
          <w:p>
            <w:pPr>
              <w:ind w:left="20"/>
              <w:spacing w:after="0" w:line="121"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w w:val="96"/>
              </w:rPr>
              <w:t>Derivative Security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Owned</w:t>
            </w:r>
          </w:p>
        </w:tc>
        <w:tc>
          <w:tcPr>
            <w:tcW w:w="18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or 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gridSpan w:val="7"/>
          </w:tcPr>
          <w:p>
            <w:pPr>
              <w:ind w:left="20"/>
              <w:spacing w:after="0" w:line="121"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18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w w:val="96"/>
              </w:rPr>
              <w:t>3, 4 and 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60"/>
              <w:spacing w:after="0" w:line="121"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380" w:type="dxa"/>
            <w:vAlign w:val="bottom"/>
            <w:gridSpan w:val="2"/>
          </w:tcPr>
          <w:p>
            <w:pPr>
              <w:ind w:left="40"/>
              <w:spacing w:after="0"/>
              <w:rPr>
                <w:sz w:val="20"/>
                <w:szCs w:val="20"/>
                <w:color w:val="auto"/>
              </w:rPr>
            </w:pPr>
            <w:r>
              <w:rPr>
                <w:rFonts w:ascii="Arial" w:cs="Arial" w:eastAsia="Arial" w:hAnsi="Arial"/>
                <w:sz w:val="11"/>
                <w:szCs w:val="11"/>
                <w:b w:val="1"/>
                <w:bCs w:val="1"/>
                <w:color w:val="auto"/>
              </w:rPr>
              <w:t>V</w:t>
            </w:r>
          </w:p>
        </w:tc>
        <w:tc>
          <w:tcPr>
            <w:tcW w:w="280" w:type="dxa"/>
            <w:vAlign w:val="bottom"/>
            <w:gridSpan w:val="4"/>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(D)  Exercisable</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2"/>
                <w:szCs w:val="12"/>
                <w:color w:val="auto"/>
              </w:rPr>
            </w:pPr>
          </w:p>
        </w:tc>
        <w:tc>
          <w:tcPr>
            <w:tcW w:w="44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Qualified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vMerge w:val="restart"/>
          </w:tcPr>
          <w:p>
            <w:pPr>
              <w:ind w:left="360"/>
              <w:spacing w:after="0" w:line="266" w:lineRule="exact"/>
              <w:rPr>
                <w:sz w:val="20"/>
                <w:szCs w:val="20"/>
                <w:color w:val="auto"/>
              </w:rPr>
            </w:pPr>
            <w:r>
              <w:rPr>
                <w:rFonts w:ascii="Times New Roman" w:cs="Times New Roman" w:eastAsia="Times New Roman" w:hAnsi="Times New Roman"/>
                <w:sz w:val="24"/>
                <w:szCs w:val="24"/>
                <w:color w:val="0000FF"/>
                <w:w w:val="83"/>
                <w:vertAlign w:val="subscript"/>
              </w:rPr>
              <w:t>See Footnotes</w:t>
            </w:r>
            <w:r>
              <w:rPr>
                <w:rFonts w:ascii="Times New Roman" w:cs="Times New Roman" w:eastAsia="Times New Roman" w:hAnsi="Times New Roman"/>
                <w:sz w:val="10"/>
                <w:szCs w:val="10"/>
                <w:color w:val="008000"/>
                <w:w w:val="83"/>
              </w:rPr>
              <w:t>(2)(3)(4)(5)</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499.86</w:t>
            </w: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06/17/2026</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2"/>
                <w:szCs w:val="12"/>
                <w:color w:val="0000FF"/>
                <w:w w:val="88"/>
              </w:rPr>
              <w:t>1,532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008000"/>
                <w:w w:val="95"/>
              </w:rPr>
              <w:t>(10)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0"/>
                <w:szCs w:val="10"/>
                <w:color w:val="008000"/>
              </w:rPr>
              <w:t>(10)</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06/17/2036</w:t>
            </w:r>
          </w:p>
        </w:tc>
        <w:tc>
          <w:tcPr>
            <w:tcW w:w="62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1,532</w:t>
            </w:r>
          </w:p>
        </w:tc>
        <w:tc>
          <w:tcPr>
            <w:tcW w:w="760" w:type="dxa"/>
            <w:vAlign w:val="bottom"/>
            <w:gridSpan w:val="3"/>
            <w:vMerge w:val="restart"/>
          </w:tcPr>
          <w:p>
            <w:pPr>
              <w:ind w:left="3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24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1,532</w:t>
            </w:r>
          </w:p>
        </w:tc>
        <w:tc>
          <w:tcPr>
            <w:tcW w:w="32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w w:val="98"/>
              </w:rPr>
              <w:t>I</w:t>
            </w:r>
          </w:p>
        </w:tc>
        <w:tc>
          <w:tcPr>
            <w:tcW w:w="1520" w:type="dxa"/>
            <w:vAlign w:val="bottom"/>
            <w:vMerge w:val="continue"/>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6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Options</w:t>
            </w:r>
          </w:p>
        </w:tc>
        <w:tc>
          <w:tcPr>
            <w:tcW w:w="66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60" w:type="dxa"/>
            <w:vAlign w:val="bottom"/>
          </w:tcPr>
          <w:p>
            <w:pPr>
              <w:ind w:left="1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16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0"/>
                <w:szCs w:val="10"/>
                <w:color w:val="008000"/>
              </w:rPr>
              <w:t>(6)(7)</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Qualified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w w:val="87"/>
              </w:rPr>
              <w:t>See Footnotes</w:t>
            </w:r>
            <w:r>
              <w:rPr>
                <w:rFonts w:ascii="Times New Roman" w:cs="Times New Roman" w:eastAsia="Times New Roman" w:hAnsi="Times New Roman"/>
                <w:sz w:val="20"/>
                <w:szCs w:val="20"/>
                <w:color w:val="008000"/>
                <w:w w:val="87"/>
                <w:vertAlign w:val="superscript"/>
              </w:rPr>
              <w:t>(3)(4)(5)(6)</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499.86</w:t>
            </w: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06/17/2026</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2"/>
                <w:szCs w:val="12"/>
                <w:color w:val="0000FF"/>
                <w:w w:val="88"/>
              </w:rPr>
              <w:t>1,532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008000"/>
                <w:w w:val="95"/>
              </w:rPr>
              <w:t>(10)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0"/>
                <w:szCs w:val="10"/>
                <w:color w:val="008000"/>
              </w:rPr>
              <w:t>(10)</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06/17/2036</w:t>
            </w:r>
          </w:p>
        </w:tc>
        <w:tc>
          <w:tcPr>
            <w:tcW w:w="62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1,532</w:t>
            </w:r>
          </w:p>
        </w:tc>
        <w:tc>
          <w:tcPr>
            <w:tcW w:w="760" w:type="dxa"/>
            <w:vAlign w:val="bottom"/>
            <w:gridSpan w:val="3"/>
            <w:vMerge w:val="restart"/>
          </w:tcPr>
          <w:p>
            <w:pPr>
              <w:ind w:left="3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24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1,532</w:t>
            </w:r>
          </w:p>
        </w:tc>
        <w:tc>
          <w:tcPr>
            <w:tcW w:w="32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w w:val="98"/>
              </w:rPr>
              <w:t>I</w:t>
            </w:r>
          </w:p>
        </w:tc>
        <w:tc>
          <w:tcPr>
            <w:tcW w:w="1520" w:type="dxa"/>
            <w:vAlign w:val="bottom"/>
            <w:vMerge w:val="continue"/>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6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Options</w:t>
            </w:r>
          </w:p>
        </w:tc>
        <w:tc>
          <w:tcPr>
            <w:tcW w:w="66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60" w:type="dxa"/>
            <w:vAlign w:val="bottom"/>
          </w:tcPr>
          <w:p>
            <w:pPr>
              <w:ind w:left="1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16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0"/>
                <w:szCs w:val="10"/>
                <w:color w:val="008000"/>
              </w:rPr>
              <w:t>(7)(9)</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20" w:type="dxa"/>
            <w:vAlign w:val="bottom"/>
            <w:tcBorders>
              <w:top w:val="single" w:sz="8" w:color="2C2C2C"/>
            </w:tcBorders>
            <w:gridSpan w:val="6"/>
          </w:tcPr>
          <w:p>
            <w:pPr>
              <w:ind w:left="60"/>
              <w:spacing w:after="0" w:line="21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260" w:type="dxa"/>
            <w:vAlign w:val="bottom"/>
            <w:gridSpan w:val="7"/>
          </w:tcPr>
          <w:p>
            <w:pPr>
              <w:spacing w:after="0" w:line="20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BAKER BROS. ADVISORS LP</w:t>
              </w:r>
            </w:hyperlink>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12"/>
                <w:szCs w:val="12"/>
                <w:color w:val="auto"/>
              </w:rPr>
              <w:t>(First)</w:t>
            </w:r>
          </w:p>
        </w:tc>
        <w:tc>
          <w:tcPr>
            <w:tcW w:w="2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3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0" w:type="dxa"/>
            <w:vAlign w:val="bottom"/>
            <w:gridSpan w:val="2"/>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0000FF"/>
              </w:rPr>
              <w:t>10014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12"/>
                <w:szCs w:val="12"/>
                <w:color w:val="auto"/>
              </w:rPr>
              <w:t>(State)</w:t>
            </w:r>
          </w:p>
        </w:tc>
        <w:tc>
          <w:tcPr>
            <w:tcW w:w="2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162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420" w:type="dxa"/>
            <w:vAlign w:val="bottom"/>
            <w:gridSpan w:val="6"/>
          </w:tcPr>
          <w:p>
            <w:pPr>
              <w:ind w:left="60"/>
              <w:spacing w:after="0" w:line="22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1220" w:type="dxa"/>
            <w:vAlign w:val="bottom"/>
            <w:gridSpan w:val="4"/>
          </w:tcPr>
          <w:p>
            <w:pPr>
              <w:spacing w:after="0" w:line="206"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667, L.P.</w:t>
              </w:r>
            </w:hyperlink>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12"/>
                <w:szCs w:val="12"/>
                <w:color w:val="auto"/>
              </w:rPr>
              <w:t>(First)</w:t>
            </w:r>
          </w:p>
        </w:tc>
        <w:tc>
          <w:tcPr>
            <w:tcW w:w="2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3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0" w:type="dxa"/>
            <w:vAlign w:val="bottom"/>
            <w:gridSpan w:val="2"/>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0000FF"/>
              </w:rPr>
              <w:t>10014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12"/>
                <w:szCs w:val="12"/>
                <w:color w:val="auto"/>
              </w:rPr>
              <w:t>(State)</w:t>
            </w:r>
          </w:p>
        </w:tc>
        <w:tc>
          <w:tcPr>
            <w:tcW w:w="2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-5509895</wp:posOffset>
            </wp:positionV>
            <wp:extent cx="27940" cy="2570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2570480"/>
                    </a:xfrm>
                    <a:prstGeom prst="rect">
                      <a:avLst/>
                    </a:prstGeom>
                    <a:noFill/>
                  </pic:spPr>
                </pic:pic>
              </a:graphicData>
            </a:graphic>
          </wp:anchor>
        </w:drawing>
      </w:r>
    </w:p>
    <w:p>
      <w:pPr>
        <w:spacing w:after="0" w:line="9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1" w:right="359" w:bottom="0" w:gutter="0" w:footer="0" w:header="0"/>
          <w:type w:val="continuous"/>
        </w:sectPr>
      </w:pPr>
    </w:p>
    <w:p>
      <w:pPr>
        <w:ind w:left="100"/>
        <w:spacing w:after="0"/>
        <w:rPr>
          <w:rFonts w:ascii="Times New Roman" w:cs="Times New Roman" w:eastAsia="Times New Roman" w:hAnsi="Times New Roman"/>
          <w:sz w:val="19"/>
          <w:szCs w:val="19"/>
          <w:u w:val="single" w:color="auto"/>
          <w:color w:val="0000EE"/>
        </w:rPr>
      </w:pPr>
      <w:hyperlink r:id="rId17">
        <w:r>
          <w:rPr>
            <w:rFonts w:ascii="Times New Roman" w:cs="Times New Roman" w:eastAsia="Times New Roman" w:hAnsi="Times New Roman"/>
            <w:sz w:val="19"/>
            <w:szCs w:val="19"/>
            <w:u w:val="single" w:color="auto"/>
            <w:color w:val="0000EE"/>
          </w:rPr>
          <w:t>Baker Bros. Advisors (GP) LLC</w:t>
        </w:r>
      </w:hyperlink>
    </w:p>
    <w:p>
      <w:pPr>
        <w:sectPr>
          <w:pgSz w:w="11900" w:h="16838" w:orient="portrait"/>
          <w:cols w:equalWidth="0" w:num="1">
            <w:col w:w="11080"/>
          </w:cols>
          <w:pgMar w:left="460" w:top="211" w:right="35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277495</wp:posOffset>
            </wp:positionH>
            <wp:positionV relativeFrom="page">
              <wp:posOffset>88900</wp:posOffset>
            </wp:positionV>
            <wp:extent cx="2816225" cy="5532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6225" cy="55327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1"/>
        </w:trPr>
        <w:tc>
          <w:tcPr>
            <w:tcW w:w="100" w:type="dxa"/>
            <w:vAlign w:val="bottom"/>
          </w:tcPr>
          <w:p>
            <w:pPr>
              <w:spacing w:after="0"/>
              <w:rPr>
                <w:sz w:val="21"/>
                <w:szCs w:val="21"/>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r>
      <w:tr>
        <w:trPr>
          <w:trHeight w:val="186"/>
        </w:trPr>
        <w:tc>
          <w:tcPr>
            <w:tcW w:w="120" w:type="dxa"/>
            <w:vAlign w:val="bottom"/>
            <w:gridSpan w:val="2"/>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6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8"/>
        </w:trPr>
        <w:tc>
          <w:tcPr>
            <w:tcW w:w="2780" w:type="dxa"/>
            <w:vAlign w:val="bottom"/>
            <w:gridSpan w:val="6"/>
          </w:tcPr>
          <w:p>
            <w:pPr>
              <w:ind w:left="60"/>
              <w:spacing w:after="0" w:line="22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2680" w:type="dxa"/>
            <w:vAlign w:val="bottom"/>
            <w:gridSpan w:val="5"/>
          </w:tcPr>
          <w:p>
            <w:pPr>
              <w:spacing w:after="0" w:line="206"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Baker Brothers Life Sciences LP</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16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1"/>
        </w:trPr>
        <w:tc>
          <w:tcPr>
            <w:tcW w:w="100" w:type="dxa"/>
            <w:vAlign w:val="bottom"/>
          </w:tcPr>
          <w:p>
            <w:pPr>
              <w:spacing w:after="0"/>
              <w:rPr>
                <w:sz w:val="21"/>
                <w:szCs w:val="21"/>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r>
      <w:tr>
        <w:trPr>
          <w:trHeight w:val="186"/>
        </w:trPr>
        <w:tc>
          <w:tcPr>
            <w:tcW w:w="120" w:type="dxa"/>
            <w:vAlign w:val="bottom"/>
            <w:gridSpan w:val="2"/>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6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5"/>
        </w:trPr>
        <w:tc>
          <w:tcPr>
            <w:tcW w:w="1360" w:type="dxa"/>
            <w:vAlign w:val="bottom"/>
            <w:tcBorders>
              <w:bottom w:val="single" w:sz="8" w:color="2C2C2C"/>
            </w:tcBorders>
            <w:gridSpan w:val="3"/>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8"/>
        </w:trPr>
        <w:tc>
          <w:tcPr>
            <w:tcW w:w="2780" w:type="dxa"/>
            <w:vAlign w:val="bottom"/>
            <w:gridSpan w:val="6"/>
          </w:tcPr>
          <w:p>
            <w:pPr>
              <w:ind w:left="60"/>
              <w:spacing w:after="0" w:line="22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1380" w:type="dxa"/>
            <w:vAlign w:val="bottom"/>
            <w:gridSpan w:val="3"/>
          </w:tcPr>
          <w:p>
            <w:pPr>
              <w:spacing w:after="0" w:line="206"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BAKER FELIX</w:t>
              </w:r>
            </w:hyperlink>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1"/>
        </w:trPr>
        <w:tc>
          <w:tcPr>
            <w:tcW w:w="100" w:type="dxa"/>
            <w:vAlign w:val="bottom"/>
          </w:tcPr>
          <w:p>
            <w:pPr>
              <w:spacing w:after="0"/>
              <w:rPr>
                <w:sz w:val="21"/>
                <w:szCs w:val="21"/>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r>
      <w:tr>
        <w:trPr>
          <w:trHeight w:val="186"/>
        </w:trPr>
        <w:tc>
          <w:tcPr>
            <w:tcW w:w="120" w:type="dxa"/>
            <w:vAlign w:val="bottom"/>
            <w:gridSpan w:val="2"/>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6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5"/>
        </w:trPr>
        <w:tc>
          <w:tcPr>
            <w:tcW w:w="1360" w:type="dxa"/>
            <w:vAlign w:val="bottom"/>
            <w:tcBorders>
              <w:bottom w:val="single" w:sz="8" w:color="2C2C2C"/>
            </w:tcBorders>
            <w:gridSpan w:val="3"/>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8"/>
        </w:trPr>
        <w:tc>
          <w:tcPr>
            <w:tcW w:w="2780" w:type="dxa"/>
            <w:vAlign w:val="bottom"/>
            <w:gridSpan w:val="6"/>
          </w:tcPr>
          <w:p>
            <w:pPr>
              <w:ind w:left="60"/>
              <w:spacing w:after="0" w:line="22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1380" w:type="dxa"/>
            <w:vAlign w:val="bottom"/>
            <w:gridSpan w:val="3"/>
          </w:tcPr>
          <w:p>
            <w:pPr>
              <w:spacing w:after="0" w:line="206" w:lineRule="exact"/>
              <w:rPr>
                <w:rFonts w:ascii="Times New Roman" w:cs="Times New Roman" w:eastAsia="Times New Roman" w:hAnsi="Times New Roman"/>
                <w:sz w:val="19"/>
                <w:szCs w:val="19"/>
                <w:color w:val="0000EE"/>
              </w:rPr>
            </w:pPr>
            <w:hyperlink r:id="rId21">
              <w:r>
                <w:rPr>
                  <w:rFonts w:ascii="Times New Roman" w:cs="Times New Roman" w:eastAsia="Times New Roman" w:hAnsi="Times New Roman"/>
                  <w:sz w:val="19"/>
                  <w:szCs w:val="19"/>
                  <w:color w:val="0000EE"/>
                </w:rPr>
                <w:t>BAKER JULIAN</w:t>
              </w:r>
            </w:hyperlink>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1"/>
        </w:trPr>
        <w:tc>
          <w:tcPr>
            <w:tcW w:w="100" w:type="dxa"/>
            <w:vAlign w:val="bottom"/>
          </w:tcPr>
          <w:p>
            <w:pPr>
              <w:spacing w:after="0"/>
              <w:rPr>
                <w:sz w:val="21"/>
                <w:szCs w:val="21"/>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r>
      <w:tr>
        <w:trPr>
          <w:trHeight w:val="186"/>
        </w:trPr>
        <w:tc>
          <w:tcPr>
            <w:tcW w:w="120" w:type="dxa"/>
            <w:vAlign w:val="bottom"/>
            <w:gridSpan w:val="2"/>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6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1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right="140" w:hanging="7"/>
        <w:spacing w:after="0" w:line="239"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454 restricted stock units (each an "RSU") payable solely in common stock ("Common Stock") granted by Madrigal Pharmaceuticals, Inc. (the "Issuer") to each of Julian C. Baker, a managing member of Baker Bros. Advisors (GP) LLC (the "Adviser GP"), and Dr. Raymond Cheong, a full-time employee of Baker Bros. Advisors LP (the "Adviser"), on June 17, 2026, pursuant to the Issuer's 2026 Stock Plan (the "2026 Plan"). The RSUs fully vest on the earlier of (i) June 17, 2027 and (ii) the date of the Issuer's annual meeting of stockholders to be held in 2027, subject to the applicable director's continuous service with the Issuer through such vesting date. Julian C. Baker and Dr. Cheong serve on the board of directors of the Issuer (the "Board") as representatives of 667, L.P. ("667") and Baker Brothers Life Sciences, L.P. ("Life Sciences", and together with 667, the "Funds") and their affiliates and control persons.</w:t>
      </w:r>
    </w:p>
    <w:p>
      <w:pPr>
        <w:spacing w:after="0" w:line="25" w:lineRule="exact"/>
        <w:rPr>
          <w:rFonts w:ascii="Times New Roman" w:cs="Times New Roman" w:eastAsia="Times New Roman" w:hAnsi="Times New Roman"/>
          <w:sz w:val="12"/>
          <w:szCs w:val="12"/>
          <w:color w:val="008000"/>
        </w:rPr>
      </w:pPr>
    </w:p>
    <w:p>
      <w:pPr>
        <w:ind w:left="40" w:right="80" w:hanging="7"/>
        <w:spacing w:after="0" w:line="242"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transactions reported herein and as a result of their ownership interest in (i) Baker Biotech Capital, L.P. and (ii) 667, Julian C. Baker and Felix J. Baker each may be deemed to have an indirect pecuniary interest in Common Stock reported in column 5 of Table I and the Stock Options (as defined below) reported in column 9 of Table II held directly by or held for the benefit of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p>
      <w:pPr>
        <w:spacing w:after="0" w:line="22" w:lineRule="exact"/>
        <w:rPr>
          <w:rFonts w:ascii="Times New Roman" w:cs="Times New Roman" w:eastAsia="Times New Roman" w:hAnsi="Times New Roman"/>
          <w:sz w:val="12"/>
          <w:szCs w:val="12"/>
          <w:color w:val="008000"/>
        </w:rPr>
      </w:pPr>
    </w:p>
    <w:p>
      <w:pPr>
        <w:ind w:left="40" w:hanging="7"/>
        <w:spacing w:after="0" w:line="242"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Julian C. Baker and Dr. Cheong do not have a right to any of the Issuer's securities issued as compensation for their service on the Board and the Funds are entitled to an indirect proportionate pecuniary interest in such securities. The Funds each own an indirect proportionate pecuniary interest in the non-qualified stock options exercisable solely into Common Stock ("Stock Options") and RSUs. Solely as a result of their ownership interest in (i) the general partners of the Funds and (ii) the Funds, Felix J. Baker and Julian C. Baker may be deemed to have an indirect pecuniary interest in the Stock Options, RSUs and any Common Stock acquired upon the exercise of Stock Options or vesting of RSUs (i.e. no direct pecuniary interest) issued as compensation for such Board service.</w:t>
      </w:r>
    </w:p>
    <w:p>
      <w:pPr>
        <w:spacing w:after="0" w:line="22" w:lineRule="exact"/>
        <w:rPr>
          <w:rFonts w:ascii="Times New Roman" w:cs="Times New Roman" w:eastAsia="Times New Roman" w:hAnsi="Times New Roman"/>
          <w:sz w:val="12"/>
          <w:szCs w:val="12"/>
          <w:color w:val="008000"/>
        </w:rPr>
      </w:pPr>
    </w:p>
    <w:p>
      <w:pPr>
        <w:ind w:left="40" w:hanging="7"/>
        <w:spacing w:after="0" w:line="242"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Adviser serves as the investment adviser to the Funds. In connection with the services provided by the Adviser, the Adviser receives an asset-based management fee that does not confer any pecuniary interest in the securities held directly by the Funds or for the benefit of the Funds. The Adviser GP is the Adviser's sole general partner. Julian C. Baker and Felix J. Baker are managing members of the Adviser GP. The Adviser has complete and unlimited discretion and authority with respect to the investment and voting power of the securities held directly by the Funds or for the benefit of the Funds. The general partners of the Funds relinquished to the Adviser all discretion and authority with respect to the investment and voting power of the securities held directly by the Funds or for the benefit of the Funds.</w:t>
      </w:r>
    </w:p>
    <w:p>
      <w:pPr>
        <w:spacing w:after="0" w:line="22" w:lineRule="exact"/>
        <w:rPr>
          <w:rFonts w:ascii="Times New Roman" w:cs="Times New Roman" w:eastAsia="Times New Roman" w:hAnsi="Times New Roman"/>
          <w:sz w:val="12"/>
          <w:szCs w:val="12"/>
          <w:color w:val="008000"/>
        </w:rPr>
      </w:pPr>
    </w:p>
    <w:p>
      <w:pPr>
        <w:ind w:left="40" w:right="8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Julian C. Baker, Felix J. Baker, the Adviser GP and the Adviser disclaim beneficial ownership of the securities held directly by or held for the benefit of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p>
      <w:pPr>
        <w:spacing w:after="0" w:line="9"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the Adviser has voting and dispositive power over the Stock Options, RSUs and any Common Stock received as a result of the exercise of Stock Options or vesting of RSUs.</w:t>
      </w:r>
    </w:p>
    <w:p>
      <w:pPr>
        <w:spacing w:after="0" w:line="43" w:lineRule="exact"/>
        <w:rPr>
          <w:rFonts w:ascii="Times New Roman" w:cs="Times New Roman" w:eastAsia="Times New Roman" w:hAnsi="Times New Roman"/>
          <w:sz w:val="12"/>
          <w:szCs w:val="12"/>
          <w:color w:val="008000"/>
        </w:rPr>
      </w:pPr>
    </w:p>
    <w:p>
      <w:pPr>
        <w:ind w:left="40" w:right="4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acquisitions of the RSUs and Stock Options reported on this form represent grants to each of Julian C. Baker and Dr. Cheong of 454 RSUs on Table I and 766 Stock Options on Table II. These grants, totaling 908 RSUs and 1,532 Stock Options for Julian C. Baker and Dr. Cheong in the aggregate, are reported for each of the Funds as each has an indirect pecuniary interest in such securities.</w:t>
      </w:r>
    </w:p>
    <w:p>
      <w:pPr>
        <w:spacing w:after="0" w:line="9"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beneficial ownership of 3,825 shares of Common Stock received from vested RSUs each previously granted to Julian C. Baker and Dr. Cheong in their capacity as directors of the Issuer.</w:t>
      </w:r>
    </w:p>
    <w:p>
      <w:pPr>
        <w:spacing w:after="0" w:line="43" w:lineRule="exact"/>
        <w:rPr>
          <w:rFonts w:ascii="Times New Roman" w:cs="Times New Roman" w:eastAsia="Times New Roman" w:hAnsi="Times New Roman"/>
          <w:sz w:val="12"/>
          <w:szCs w:val="12"/>
          <w:color w:val="008000"/>
        </w:rPr>
      </w:pPr>
    </w:p>
    <w:p>
      <w:pPr>
        <w:ind w:left="40" w:right="40" w:hanging="7"/>
        <w:spacing w:after="0" w:line="242"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transactions reported herein and as a result of their ownership interest in (i) Baker Brothers Life Sciences Capital, L.P. and (ii) Life Sciences, Julian C. Baker and Felix J. Baker each may be deemed to have an indirect pecuniary interest in Common Stock reported in column 5 of Table I and the Stock Options reported in column 9 of Table II held directly by or held for the benefit of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p>
      <w:pPr>
        <w:spacing w:after="0" w:line="22" w:lineRule="exact"/>
        <w:rPr>
          <w:rFonts w:ascii="Times New Roman" w:cs="Times New Roman" w:eastAsia="Times New Roman" w:hAnsi="Times New Roman"/>
          <w:sz w:val="12"/>
          <w:szCs w:val="12"/>
          <w:color w:val="008000"/>
        </w:rPr>
      </w:pPr>
    </w:p>
    <w:p>
      <w:pPr>
        <w:jc w:val="both"/>
        <w:ind w:left="40" w:right="220" w:hanging="7"/>
        <w:spacing w:after="0" w:line="248" w:lineRule="auto"/>
        <w:tabs>
          <w:tab w:leader="none" w:pos="22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766 Stock Options granted by the Issuer to each of Julian C. Baker and Dr. Cheong on June 17, 2026, pursuant to the 2026 Plan. The Stock Options have a strike price of $499.86, fully vest on the earlier of (i) June 17, 2027 and (ii) the date of the Issuer's annual meeting of stockholders to be held in 2027, subject to the applicable director's continuous service with the Issuer through such vesting date, and expire 10 years from the date of grant.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40"/>
        <w:spacing w:after="0" w:line="248" w:lineRule="auto"/>
        <w:rPr>
          <w:sz w:val="20"/>
          <w:szCs w:val="20"/>
          <w:color w:val="auto"/>
        </w:rPr>
      </w:pPr>
      <w:r>
        <w:rPr>
          <w:rFonts w:ascii="Times New Roman" w:cs="Times New Roman" w:eastAsia="Times New Roman" w:hAnsi="Times New Roman"/>
          <w:sz w:val="12"/>
          <w:szCs w:val="12"/>
          <w:color w:val="008000"/>
        </w:rPr>
        <w:t>Julian C. Baker, a managing member of Baker Bros. Advisors (GP) LLC, and Dr. Raymond Cheong, a full-time employee of Baker Bros. Advisors LP, are directors of Madrigal Pharmaceuticals, Inc. (the "Issuer"). By virtue of their representation on the board of directors of the Issuer, for purposes of Section 16 of the Securities Exchange Act of 1934, as amended, the reporting persons other than Julian C. Baker are deemed directors by deputization of the Issuer.</w:t>
      </w:r>
    </w:p>
    <w:p>
      <w:pPr>
        <w:sectPr>
          <w:pgSz w:w="11900" w:h="16858" w:orient="portrait"/>
          <w:cols w:equalWidth="0" w:num="1">
            <w:col w:w="10940"/>
          </w:cols>
          <w:pgMar w:left="460" w:top="163" w:right="499" w:bottom="0" w:gutter="0" w:footer="0" w:header="0"/>
        </w:sectPr>
      </w:pP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By: Baker Bros. Advisors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-8255</wp:posOffset>
            </wp:positionV>
            <wp:extent cx="11849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84910" cy="7620"/>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-16510</wp:posOffset>
            </wp:positionV>
            <wp:extent cx="12033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033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President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-16510</wp:posOffset>
            </wp:positionV>
            <wp:extent cx="11652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65225" cy="7620"/>
                    </a:xfrm>
                    <a:prstGeom prst="rect">
                      <a:avLst/>
                    </a:prstGeom>
                    <a:noFill/>
                  </pic:spPr>
                </pic:pic>
              </a:graphicData>
            </a:graphic>
          </wp:anchor>
        </w:drawing>
      </w:r>
    </w:p>
    <w:p>
      <w:pPr>
        <w:spacing w:after="0" w:line="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-1270</wp:posOffset>
            </wp:positionV>
            <wp:extent cx="13093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09370" cy="7620"/>
                    </a:xfrm>
                    <a:prstGeom prst="rect">
                      <a:avLst/>
                    </a:prstGeom>
                    <a:noFill/>
                  </pic:spPr>
                </pic:pic>
              </a:graphicData>
            </a:graphic>
          </wp:anchor>
        </w:drawing>
      </w:r>
    </w:p>
    <w:p>
      <w:pPr>
        <w:spacing w:after="0" w:line="1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Co. and Inv. Adviser to 667,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-8890</wp:posOffset>
            </wp:positionV>
            <wp:extent cx="13335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33500" cy="7620"/>
                    </a:xfrm>
                    <a:prstGeom prst="rect">
                      <a:avLst/>
                    </a:prstGeom>
                    <a:noFill/>
                  </pic:spPr>
                </pic:pic>
              </a:graphicData>
            </a:graphic>
          </wp:anchor>
        </w:drawing>
      </w:r>
    </w:p>
    <w:p>
      <w:pPr>
        <w:spacing w:after="0" w:line="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pursuant to authority granted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-16510</wp:posOffset>
            </wp:positionV>
            <wp:extent cx="127889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Baker Biotech Capital, L.P.,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-16510</wp:posOffset>
            </wp:positionV>
            <wp:extent cx="12674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6746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to 667, L.P. Name: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-16510</wp:posOffset>
            </wp:positionV>
            <wp:extent cx="108775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0877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Lessing, Title: President /s/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-8890</wp:posOffset>
            </wp:positionV>
            <wp:extent cx="13169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16990" cy="7620"/>
                    </a:xfrm>
                    <a:prstGeom prst="rect">
                      <a:avLst/>
                    </a:prstGeom>
                    <a:noFill/>
                  </pic:spPr>
                </pic:pic>
              </a:graphicData>
            </a:graphic>
          </wp:anchor>
        </w:drawing>
      </w:r>
    </w:p>
    <w:p>
      <w:pPr>
        <w:spacing w:after="0" w:line="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-16510</wp:posOffset>
            </wp:positionV>
            <wp:extent cx="4210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421005" cy="7620"/>
                    </a:xfrm>
                    <a:prstGeom prst="rect">
                      <a:avLst/>
                    </a:prstGeom>
                    <a:noFill/>
                  </pic:spPr>
                </pic:pic>
              </a:graphicData>
            </a:graphic>
          </wp:anchor>
        </w:drawing>
      </w:r>
    </w:p>
    <w:p>
      <w:pPr>
        <w:spacing w:after="0" w:line="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-8255</wp:posOffset>
            </wp:positionV>
            <wp:extent cx="73596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35965" cy="7620"/>
                    </a:xfrm>
                    <a:prstGeom prst="rect">
                      <a:avLst/>
                    </a:prstGeom>
                    <a:noFill/>
                  </pic:spPr>
                </pic:pic>
              </a:graphicData>
            </a:graphic>
          </wp:anchor>
        </w:drawing>
      </w:r>
    </w:p>
    <w:p>
      <w:pPr>
        <w:spacing w:after="0" w:line="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-8255</wp:posOffset>
            </wp:positionV>
            <wp:extent cx="6756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ectPr>
          <w:pgSz w:w="11900" w:h="16858" w:orient="portrait"/>
          <w:cols w:equalWidth="0" w:num="2">
            <w:col w:w="8700" w:space="100"/>
            <w:col w:w="2140"/>
          </w:cols>
          <w:pgMar w:left="460" w:top="163" w:right="499" w:bottom="0" w:gutter="0" w:footer="0" w:header="0"/>
          <w:type w:val="continuous"/>
        </w:sectPr>
      </w:pPr>
    </w:p>
    <w:bookmarkStart w:id="2" w:name="page3"/>
    <w:bookmarkEnd w:id="2"/>
    <w:p>
      <w:pPr>
        <w:ind w:left="6567"/>
        <w:spacing w:after="0"/>
        <w:rPr>
          <w:sz w:val="20"/>
          <w:szCs w:val="20"/>
          <w:color w:val="auto"/>
        </w:rPr>
      </w:pPr>
      <w:r>
        <w:rPr>
          <w:rFonts w:ascii="Times New Roman" w:cs="Times New Roman" w:eastAsia="Times New Roman" w:hAnsi="Times New Roman"/>
          <w:sz w:val="16"/>
          <w:szCs w:val="16"/>
          <w:color w:val="0000FF"/>
        </w:rPr>
        <w:t>By: Baker Bros.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-8255</wp:posOffset>
            </wp:positionV>
            <wp:extent cx="12484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841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LLC,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2039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0396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06743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06743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3098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09880"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-8255</wp:posOffset>
            </wp:positionV>
            <wp:extent cx="130937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0937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Co. and Inv. Adviser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29159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27635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7635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5"/>
          <w:szCs w:val="15"/>
          <w:color w:val="0000FF"/>
        </w:rPr>
        <w:t>L.P., pursuant to authority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-8890</wp:posOffset>
            </wp:positionV>
            <wp:extent cx="13589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spacing w:after="0" w:line="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by Baker 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2954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Capital, L.P., GP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03505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03505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Brothers Life Sciences,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25666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5666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20332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0332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3708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708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841" w:lineRule="exact"/>
        <w:rPr>
          <w:sz w:val="20"/>
          <w:szCs w:val="20"/>
          <w:color w:val="auto"/>
        </w:rPr>
      </w:pPr>
    </w:p>
    <w:p>
      <w:pPr>
        <w:sectPr>
          <w:pgSz w:w="11900" w:h="16838" w:orient="portrait"/>
          <w:cols w:equalWidth="0" w:num="2">
            <w:col w:w="8707" w:space="60"/>
            <w:col w:w="1199"/>
          </w:cols>
          <w:pgMar w:left="493" w:top="139" w:right="1440" w:bottom="1440" w:gutter="0" w:footer="0" w:header="0"/>
        </w:sectPr>
      </w:pPr>
    </w:p>
    <w:p>
      <w:pPr>
        <w:ind w:left="6567"/>
        <w:spacing w:after="0"/>
        <w:tabs>
          <w:tab w:leader="none" w:pos="8747"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7" w:right="2999" w:hanging="7"/>
        <w:spacing w:after="0" w:line="31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6"/>
      </w:cols>
      <w:pgMar w:left="493" w:top="1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13" Type="http://schemas.openxmlformats.org/officeDocument/2006/relationships/hyperlink" Target="http://www.sec.gov/cgi-bin/browse-edgar?action=getcompany&amp;CIK=0001263508" TargetMode="External"/><Relationship Id="rId14" Type="http://schemas.openxmlformats.org/officeDocument/2006/relationships/hyperlink" Target="http://www.sec.gov/cgi-bin/browse-edgar?action=getcompany&amp;CIK=0001157601" TargetMode="External"/><Relationship Id="rId15" Type="http://schemas.openxmlformats.org/officeDocument/2006/relationships/hyperlink" Target="http://www.sec.gov/cgi-bin/browse-edgar?action=getcompany&amp;CIK=0001551139" TargetMode="External"/><Relationship Id="rId17" Type="http://schemas.openxmlformats.org/officeDocument/2006/relationships/hyperlink" Target="http://www.sec.gov/cgi-bin/browse-edgar?action=getcompany&amp;CIK=0001580575" TargetMode="External"/><Relationship Id="rId19" Type="http://schemas.openxmlformats.org/officeDocument/2006/relationships/hyperlink" Target="http://www.sec.gov/cgi-bin/browse-edgar?action=getcompany&amp;CIK=0001363364" TargetMode="External"/><Relationship Id="rId20" Type="http://schemas.openxmlformats.org/officeDocument/2006/relationships/hyperlink" Target="http://www.sec.gov/cgi-bin/browse-edgar?action=getcompany&amp;CIK=0001087940" TargetMode="External"/><Relationship Id="rId21" Type="http://schemas.openxmlformats.org/officeDocument/2006/relationships/hyperlink" Target="http://www.sec.gov/cgi-bin/browse-edgar?action=getcompany&amp;CIK=0001087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2026-06-18T15:07:59Z</dcterms:created>
  <dcterms:modified xsi:type="dcterms:W3CDTF">2026-06-18T15:07:59Z</dcterms:modified>
</cp:coreProperties>
</file>