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215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158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Richard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48" w:lineRule="auto"/>
        <w:rPr>
          <w:sz w:val="20"/>
          <w:szCs w:val="20"/>
          <w:color w:val="auto"/>
        </w:rPr>
      </w:pPr>
      <w:r>
        <w:rPr>
          <w:rFonts w:ascii="Times New Roman" w:cs="Times New Roman" w:eastAsia="Times New Roman" w:hAnsi="Times New Roman"/>
          <w:sz w:val="17"/>
          <w:szCs w:val="17"/>
          <w:color w:val="0000FF"/>
        </w:rPr>
        <w:t>C/O MADRIGAL PHARMACEUTICALS, INC. 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6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MADRIGAL PHARMACEUTICALS,</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MDGL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6" w:lineRule="exact"/>
        <w:rPr>
          <w:sz w:val="20"/>
          <w:szCs w:val="20"/>
          <w:color w:val="auto"/>
        </w:rPr>
      </w:pPr>
    </w:p>
    <w:p>
      <w:pPr>
        <w:sectPr>
          <w:pgSz w:w="11900" w:h="16838" w:orient="portrait"/>
          <w:cols w:equalWidth="0" w:num="3">
            <w:col w:w="3480" w:space="420"/>
            <w:col w:w="3280" w:space="555"/>
            <w:col w:w="3345"/>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220" w:type="dxa"/>
            <w:vAlign w:val="bottom"/>
            <w:shd w:val="clear" w:color="auto" w:fill="9A9A9A"/>
          </w:tcPr>
          <w:p>
            <w:pPr>
              <w:spacing w:after="0"/>
              <w:rPr>
                <w:sz w:val="3"/>
                <w:szCs w:val="3"/>
                <w:color w:val="auto"/>
              </w:rPr>
            </w:pPr>
          </w:p>
        </w:tc>
        <w:tc>
          <w:tcPr>
            <w:tcW w:w="1580" w:type="dxa"/>
            <w:vAlign w:val="bottom"/>
            <w:shd w:val="clear" w:color="auto" w:fill="9A9A9A"/>
          </w:tcPr>
          <w:p>
            <w:pPr>
              <w:spacing w:after="0"/>
              <w:rPr>
                <w:sz w:val="3"/>
                <w:szCs w:val="3"/>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vMerge w:val="restart"/>
          </w:tcPr>
          <w:p>
            <w:pPr>
              <w:ind w:left="260"/>
              <w:spacing w:after="0"/>
              <w:rPr>
                <w:sz w:val="20"/>
                <w:szCs w:val="20"/>
                <w:color w:val="auto"/>
              </w:rPr>
            </w:pPr>
            <w:r>
              <w:rPr>
                <w:rFonts w:ascii="Arial" w:cs="Arial" w:eastAsia="Arial" w:hAnsi="Arial"/>
                <w:sz w:val="13"/>
                <w:szCs w:val="13"/>
                <w:color w:val="auto"/>
                <w:w w:val="99"/>
              </w:rPr>
              <w:t>6. Individual or Joint/Group Filing (Check Applicable</w:t>
            </w:r>
          </w:p>
        </w:tc>
        <w:tc>
          <w:tcPr>
            <w:tcW w:w="0" w:type="dxa"/>
            <w:vAlign w:val="bottom"/>
          </w:tcPr>
          <w:p>
            <w:pPr>
              <w:spacing w:after="0"/>
              <w:rPr>
                <w:sz w:val="1"/>
                <w:szCs w:val="1"/>
                <w:color w:val="auto"/>
              </w:rPr>
            </w:pPr>
          </w:p>
        </w:tc>
      </w:tr>
      <w:tr>
        <w:trPr>
          <w:trHeight w:val="104"/>
        </w:trPr>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40" w:type="dxa"/>
            <w:vAlign w:val="bottom"/>
          </w:tcPr>
          <w:p>
            <w:pPr>
              <w:ind w:left="26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FF"/>
              </w:rPr>
              <w:t>WEST</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40" w:type="dxa"/>
            <w:vAlign w:val="bottom"/>
          </w:tcPr>
          <w:p>
            <w:pPr>
              <w:ind w:left="7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80" w:type="dxa"/>
            <w:vAlign w:val="bottom"/>
            <w:gridSpan w:val="2"/>
          </w:tcPr>
          <w:p>
            <w:pPr>
              <w:ind w:left="20"/>
              <w:spacing w:after="0" w:line="235" w:lineRule="exact"/>
              <w:rPr>
                <w:sz w:val="20"/>
                <w:szCs w:val="20"/>
                <w:color w:val="auto"/>
              </w:rPr>
            </w:pPr>
            <w:r>
              <w:rPr>
                <w:rFonts w:ascii="Times New Roman" w:cs="Times New Roman" w:eastAsia="Times New Roman" w:hAnsi="Times New Roman"/>
                <w:sz w:val="15"/>
                <w:szCs w:val="15"/>
                <w:color w:val="0000FF"/>
              </w:rPr>
              <w:t xml:space="preserve">CONSHOHOCKEN </w:t>
            </w:r>
            <w:r>
              <w:rPr>
                <w:rFonts w:ascii="Times New Roman" w:cs="Times New Roman" w:eastAsia="Times New Roman" w:hAnsi="Times New Roman"/>
                <w:sz w:val="27"/>
                <w:szCs w:val="27"/>
                <w:color w:val="0000FF"/>
                <w:vertAlign w:val="superscript"/>
              </w:rPr>
              <w:t>PA</w:t>
            </w:r>
          </w:p>
        </w:tc>
        <w:tc>
          <w:tcPr>
            <w:tcW w:w="1580" w:type="dxa"/>
            <w:vAlign w:val="bottom"/>
          </w:tcPr>
          <w:p>
            <w:pPr>
              <w:jc w:val="right"/>
              <w:ind w:right="605"/>
              <w:spacing w:after="0"/>
              <w:rPr>
                <w:sz w:val="20"/>
                <w:szCs w:val="20"/>
                <w:color w:val="auto"/>
              </w:rPr>
            </w:pPr>
            <w:r>
              <w:rPr>
                <w:rFonts w:ascii="Times New Roman" w:cs="Times New Roman" w:eastAsia="Times New Roman" w:hAnsi="Times New Roman"/>
                <w:sz w:val="17"/>
                <w:szCs w:val="17"/>
                <w:color w:val="0000FF"/>
              </w:rPr>
              <w:t>19428</w:t>
            </w:r>
          </w:p>
        </w:tc>
        <w:tc>
          <w:tcPr>
            <w:tcW w:w="3720" w:type="dxa"/>
            <w:vAlign w:val="bottom"/>
          </w:tcPr>
          <w:p>
            <w:pPr>
              <w:spacing w:after="0"/>
              <w:rPr>
                <w:sz w:val="20"/>
                <w:szCs w:val="20"/>
                <w:color w:val="auto"/>
              </w:rPr>
            </w:pPr>
          </w:p>
        </w:tc>
        <w:tc>
          <w:tcPr>
            <w:tcW w:w="3240" w:type="dxa"/>
            <w:vAlign w:val="bottom"/>
          </w:tcPr>
          <w:p>
            <w:pPr>
              <w:ind w:left="7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3720" w:type="dxa"/>
            <w:vAlign w:val="bottom"/>
          </w:tcPr>
          <w:p>
            <w:pPr>
              <w:spacing w:after="0"/>
              <w:rPr>
                <w:sz w:val="15"/>
                <w:szCs w:val="15"/>
                <w:color w:val="auto"/>
              </w:rPr>
            </w:pPr>
          </w:p>
        </w:tc>
        <w:tc>
          <w:tcPr>
            <w:tcW w:w="3240" w:type="dxa"/>
            <w:vAlign w:val="bottom"/>
          </w:tcPr>
          <w:p>
            <w:pPr>
              <w:ind w:left="78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80"/>
              <w:spacing w:after="0"/>
              <w:rPr>
                <w:sz w:val="20"/>
                <w:szCs w:val="20"/>
                <w:color w:val="auto"/>
              </w:rPr>
            </w:pPr>
            <w:r>
              <w:rPr>
                <w:rFonts w:ascii="Arial" w:cs="Arial" w:eastAsia="Arial" w:hAnsi="Arial"/>
                <w:sz w:val="13"/>
                <w:szCs w:val="13"/>
                <w:color w:val="auto"/>
              </w:rPr>
              <w:t>(State)</w:t>
            </w:r>
          </w:p>
        </w:tc>
        <w:tc>
          <w:tcPr>
            <w:tcW w:w="530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454</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22,469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499.86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08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766</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06/17/2036</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766</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on the earlier of (i) June 17, 2027 and (ii) the date of the Issuer's annual meeting of stockholders to be held in 2027, provided the Reporting Person continues in service with the Issuer on such date.</w:t>
      </w:r>
    </w:p>
    <w:p>
      <w:pPr>
        <w:spacing w:after="0" w:line="15" w:lineRule="exact"/>
        <w:rPr>
          <w:rFonts w:ascii="Times New Roman" w:cs="Times New Roman" w:eastAsia="Times New Roman" w:hAnsi="Times New Roman"/>
          <w:sz w:val="13"/>
          <w:szCs w:val="13"/>
          <w:color w:val="008000"/>
        </w:rPr>
      </w:pPr>
    </w:p>
    <w:p>
      <w:pPr>
        <w:ind w:left="40" w:right="6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100% of underlying shares on the earlier of (i) June 17, 2027 and (ii) the date of the Issuer's annual meeting of stockholders to be held in 2027, provided the Reporting Person continues in service with the Issuer on such date.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Mardi Dier,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-635</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60" w:space="120"/>
            <w:col w:w="230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4983" TargetMode="External"/><Relationship Id="rId14" Type="http://schemas.openxmlformats.org/officeDocument/2006/relationships/hyperlink" Target="http://www.sec.gov/cgi-bin/browse-edgar?action=getcompany&amp;CIK=0001157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2026-06-18T15:37:43Z</dcterms:created>
  <dcterms:modified xsi:type="dcterms:W3CDTF">2026-06-18T15:37:43Z</dcterms:modified>
</cp:coreProperties>
</file>